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napToGrid w:val="0"/>
        <w:spacing w:before="156" w:beforeLines="50" w:line="600" w:lineRule="exact"/>
        <w:jc w:val="center"/>
        <w:rPr>
          <w:rFonts w:ascii="方正小标宋_GBK" w:hAnsi="方正小标宋简体" w:eastAsia="方正小标宋_GBK" w:cs="方正小标宋简体"/>
          <w:sz w:val="44"/>
          <w:szCs w:val="44"/>
        </w:rPr>
      </w:pPr>
      <w:r>
        <w:rPr>
          <w:rFonts w:hint="eastAsia" w:ascii="方正小标宋_GBK" w:hAnsi="方正小标宋简体" w:eastAsia="方正小标宋_GBK" w:cs="方正小标宋简体"/>
          <w:sz w:val="44"/>
          <w:szCs w:val="44"/>
        </w:rPr>
        <w:t>江苏省地方标准</w:t>
      </w:r>
    </w:p>
    <w:p>
      <w:pPr>
        <w:shd w:val="clear" w:color="auto" w:fill="FFFFFF"/>
        <w:snapToGrid w:val="0"/>
        <w:spacing w:before="156" w:beforeLines="50" w:line="600" w:lineRule="exact"/>
        <w:jc w:val="center"/>
        <w:rPr>
          <w:rFonts w:ascii="方正小标宋_GBK" w:hAnsi="方正小标宋简体" w:eastAsia="方正小标宋_GBK" w:cs="方正小标宋简体"/>
          <w:sz w:val="44"/>
          <w:szCs w:val="44"/>
        </w:rPr>
      </w:pPr>
      <w:r>
        <w:rPr>
          <w:rFonts w:hint="eastAsia" w:ascii="方正小标宋_GBK" w:hAnsi="方正小标宋简体" w:eastAsia="方正小标宋_GBK" w:cs="方正小标宋简体"/>
          <w:sz w:val="44"/>
          <w:szCs w:val="44"/>
        </w:rPr>
        <w:t>《科技报告编写规范》编制说明</w:t>
      </w:r>
    </w:p>
    <w:p>
      <w:pPr>
        <w:pStyle w:val="5"/>
      </w:pPr>
    </w:p>
    <w:p>
      <w:pPr>
        <w:pStyle w:val="5"/>
        <w:ind w:firstLine="643"/>
        <w:rPr>
          <w:b/>
          <w:bCs/>
        </w:rPr>
      </w:pPr>
      <w:r>
        <w:rPr>
          <w:rFonts w:hint="eastAsia"/>
          <w:b/>
          <w:bCs/>
        </w:rPr>
        <w:t>一、目的意义</w:t>
      </w:r>
    </w:p>
    <w:p>
      <w:pPr>
        <w:pStyle w:val="5"/>
      </w:pPr>
      <w:r>
        <w:rPr>
          <w:rFonts w:hint="eastAsia"/>
        </w:rPr>
        <w:t>科技报告是科技人员为了描述其从事的科研、设计、工程、试验和鉴定等活动的过程、进展和结果，按照规定的标准格式编写而成的特种文献。它具有内容广泛、翔实、具体、完整，技术含量高，实用意义大的特点。根据国家科技报告制度体系建设要求，2015年江苏省启动科技报告工作，每年采集科技报告近2000篇，科技报告共享服务系统在线服务科技报告近1.4万篇，上线服务量位居全国前三。科学、规范、高效的科技报告管理模式和运行机制已经形成，全省统一的科技报告呈交、收藏、管理、共享体系基本建成。现阶段科技报告来源于江苏省科技计划项目，呈交的科技报告紧扣当年度计划指南，反映最新的研究进展和结果，为使最新最前沿的科技成果能够通过科技报告的途径共享交流，就要求呈交的科技报告要素齐全、内容完备、</w:t>
      </w:r>
      <w:r>
        <w:rPr>
          <w:rFonts w:hint="eastAsia"/>
          <w:spacing w:val="-6"/>
        </w:rPr>
        <w:t>格式规范，最大程度的真实、准确、详尽地反映各项目的研究过程。</w:t>
      </w:r>
    </w:p>
    <w:p>
      <w:pPr>
        <w:pStyle w:val="5"/>
      </w:pPr>
      <w:r>
        <w:rPr>
          <w:rFonts w:hint="eastAsia"/>
        </w:rPr>
        <w:t>提升科技报告共享交流，核心要素在于提升科技报告撰写质量。江苏省科学技术情报研究所作为江苏省科技报告管理机构，通过线上线下培训、公众号宣传、制作通用撰写模板等方式不断提升科技报告撰写质量，但在实际工作中发现虽然科技报告有国家标准《科技报告编写规则》（GB/T 7713.3-2014），但国标中只对科技报告的组成要素、结构等提出了原则性普适性的要求。针对国标未对科技报告编写提出具体编排格式要求，且由于省级科技计划项目设置多带有省份特色，我们在国标的基础上根据江苏省科技计划项目设置特点，提出具有江苏特色的科技报告编写内容、格式要求。针对不同领域不同性质的科研项目在研究方法、过程描述、结果表达等方面存在的差异，给出具体撰写内容要求与模板，提升科技报告撰写质量，完善江苏省科技报告制度体系建设，推动江苏省科技报告在高起点上沿着标准化、规范化的轨道有序高效发展。</w:t>
      </w:r>
    </w:p>
    <w:p>
      <w:pPr>
        <w:pStyle w:val="5"/>
        <w:ind w:firstLine="643"/>
        <w:rPr>
          <w:b/>
          <w:bCs/>
        </w:rPr>
      </w:pPr>
      <w:r>
        <w:rPr>
          <w:rFonts w:hint="eastAsia"/>
          <w:b/>
          <w:bCs/>
        </w:rPr>
        <w:t>二、任务来源</w:t>
      </w:r>
    </w:p>
    <w:p>
      <w:pPr>
        <w:pStyle w:val="5"/>
      </w:pPr>
      <w:r>
        <w:rPr>
          <w:rFonts w:hint="eastAsia"/>
        </w:rPr>
        <w:t>为统一规范我省科技报告编写工作，进一步健全我省科技报告管理和制度体系，2022年6月29日，江苏省市场监督管理局批准《科技报告编写规范》地方标准项目（苏市监标〔2022〕192号）正式立项。</w:t>
      </w:r>
    </w:p>
    <w:p>
      <w:pPr>
        <w:pStyle w:val="5"/>
        <w:ind w:firstLine="643"/>
        <w:rPr>
          <w:b/>
          <w:bCs/>
        </w:rPr>
      </w:pPr>
      <w:r>
        <w:rPr>
          <w:rFonts w:hint="eastAsia"/>
          <w:b/>
          <w:bCs/>
        </w:rPr>
        <w:t>三、起草单位和起草人员信息</w:t>
      </w:r>
    </w:p>
    <w:p>
      <w:pPr>
        <w:pStyle w:val="5"/>
      </w:pPr>
      <w:r>
        <w:rPr>
          <w:rFonts w:hint="eastAsia"/>
        </w:rPr>
        <w:t>1、承担单位和协作单位</w:t>
      </w:r>
    </w:p>
    <w:p>
      <w:pPr>
        <w:pStyle w:val="5"/>
        <w:ind w:firstLine="960" w:firstLineChars="300"/>
      </w:pPr>
      <w:r>
        <w:rPr>
          <w:rFonts w:hint="eastAsia"/>
        </w:rPr>
        <w:t>承担单位（主编单位）：江苏省科学技术情报研究所</w:t>
      </w:r>
    </w:p>
    <w:p>
      <w:pPr>
        <w:pStyle w:val="5"/>
        <w:ind w:firstLine="960" w:firstLineChars="300"/>
      </w:pPr>
      <w:r>
        <w:rPr>
          <w:rFonts w:hint="eastAsia"/>
        </w:rPr>
        <w:t>协作单位（参编单位）：江苏省质量和标准化研究院、江苏省科技情报学会。</w:t>
      </w:r>
    </w:p>
    <w:p>
      <w:pPr>
        <w:pStyle w:val="5"/>
      </w:pPr>
      <w:r>
        <w:t>2</w:t>
      </w:r>
      <w:r>
        <w:rPr>
          <w:rFonts w:hint="eastAsia"/>
        </w:rPr>
        <w:t>、主要起草人及工作分工</w:t>
      </w:r>
    </w:p>
    <w:p>
      <w:pPr>
        <w:pStyle w:val="5"/>
      </w:pPr>
    </w:p>
    <w:tbl>
      <w:tblPr>
        <w:tblStyle w:val="7"/>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76"/>
        <w:gridCol w:w="382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b/>
                <w:bCs/>
                <w:sz w:val="28"/>
                <w:szCs w:val="28"/>
              </w:rPr>
            </w:pPr>
            <w:r>
              <w:rPr>
                <w:rFonts w:hint="eastAsia"/>
                <w:b/>
                <w:bCs/>
                <w:sz w:val="28"/>
                <w:szCs w:val="28"/>
              </w:rPr>
              <w:t>序号</w:t>
            </w:r>
          </w:p>
        </w:tc>
        <w:tc>
          <w:tcPr>
            <w:tcW w:w="1276" w:type="dxa"/>
            <w:vAlign w:val="center"/>
          </w:tcPr>
          <w:p>
            <w:pPr>
              <w:pStyle w:val="5"/>
              <w:shd w:val="clear" w:color="auto" w:fill="auto"/>
              <w:adjustRightInd w:val="0"/>
              <w:snapToGrid w:val="0"/>
              <w:spacing w:line="240" w:lineRule="auto"/>
              <w:ind w:firstLine="0" w:firstLineChars="0"/>
              <w:jc w:val="center"/>
              <w:rPr>
                <w:b/>
                <w:bCs/>
                <w:sz w:val="28"/>
                <w:szCs w:val="28"/>
              </w:rPr>
            </w:pPr>
            <w:r>
              <w:rPr>
                <w:rFonts w:hint="eastAsia"/>
                <w:b/>
                <w:bCs/>
                <w:sz w:val="28"/>
                <w:szCs w:val="28"/>
              </w:rPr>
              <w:t>姓名</w:t>
            </w:r>
          </w:p>
        </w:tc>
        <w:tc>
          <w:tcPr>
            <w:tcW w:w="3827" w:type="dxa"/>
            <w:vAlign w:val="center"/>
          </w:tcPr>
          <w:p>
            <w:pPr>
              <w:pStyle w:val="5"/>
              <w:shd w:val="clear" w:color="auto" w:fill="auto"/>
              <w:adjustRightInd w:val="0"/>
              <w:snapToGrid w:val="0"/>
              <w:spacing w:line="240" w:lineRule="auto"/>
              <w:ind w:firstLine="0" w:firstLineChars="0"/>
              <w:jc w:val="center"/>
              <w:rPr>
                <w:b/>
                <w:bCs/>
                <w:sz w:val="28"/>
                <w:szCs w:val="28"/>
              </w:rPr>
            </w:pPr>
            <w:r>
              <w:rPr>
                <w:rFonts w:hint="eastAsia"/>
                <w:b/>
                <w:bCs/>
                <w:sz w:val="28"/>
                <w:szCs w:val="28"/>
              </w:rPr>
              <w:t>工作单位</w:t>
            </w:r>
          </w:p>
        </w:tc>
        <w:tc>
          <w:tcPr>
            <w:tcW w:w="2977" w:type="dxa"/>
            <w:vAlign w:val="center"/>
          </w:tcPr>
          <w:p>
            <w:pPr>
              <w:pStyle w:val="5"/>
              <w:shd w:val="clear" w:color="auto" w:fill="auto"/>
              <w:adjustRightInd w:val="0"/>
              <w:snapToGrid w:val="0"/>
              <w:spacing w:line="240" w:lineRule="auto"/>
              <w:ind w:firstLine="0" w:firstLineChars="0"/>
              <w:jc w:val="center"/>
              <w:rPr>
                <w:b/>
                <w:bCs/>
                <w:sz w:val="28"/>
                <w:szCs w:val="28"/>
              </w:rPr>
            </w:pPr>
            <w:r>
              <w:rPr>
                <w:rFonts w:hint="eastAsia"/>
                <w:b/>
                <w:bCs/>
                <w:sz w:val="28"/>
                <w:szCs w:val="28"/>
              </w:rPr>
              <w:t>所做主要工作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1</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 xml:space="preserve">李 </w:t>
            </w:r>
            <w:r>
              <w:rPr>
                <w:sz w:val="28"/>
                <w:szCs w:val="28"/>
              </w:rPr>
              <w:t xml:space="preserve"> </w:t>
            </w:r>
            <w:r>
              <w:rPr>
                <w:rFonts w:hint="eastAsia"/>
                <w:sz w:val="28"/>
                <w:szCs w:val="28"/>
              </w:rPr>
              <w:t>敏</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负责组织标准大纲编制，负责项目整体管理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2</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李克贵</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负责标准章节编制，主持编制标准编制说明等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3</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王利军</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起草术语与定义、编写要求等章节，全程参与标准的讨论修改以及文本统稿定稿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4</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王佳莹</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参与标准框架搭建，负责标准编排格式相关内容等编制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5</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 xml:space="preserve">吴 </w:t>
            </w:r>
            <w:r>
              <w:rPr>
                <w:sz w:val="28"/>
                <w:szCs w:val="28"/>
              </w:rPr>
              <w:t xml:space="preserve"> </w:t>
            </w:r>
            <w:r>
              <w:rPr>
                <w:rFonts w:hint="eastAsia"/>
                <w:sz w:val="28"/>
                <w:szCs w:val="28"/>
              </w:rPr>
              <w:t>丽</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 xml:space="preserve">参与标准框架搭建，负责标准附录相关内容编制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6</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 xml:space="preserve">郭 </w:t>
            </w:r>
            <w:r>
              <w:rPr>
                <w:sz w:val="28"/>
                <w:szCs w:val="28"/>
              </w:rPr>
              <w:t xml:space="preserve"> </w:t>
            </w:r>
            <w:r>
              <w:rPr>
                <w:rFonts w:hint="eastAsia"/>
                <w:sz w:val="28"/>
                <w:szCs w:val="28"/>
              </w:rPr>
              <w:t>宁</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江苏省质量和标准化研究院</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参与标准框架搭建，全程参与标准的讨论、修改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7</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朱志远</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江苏省质量和标准化研究院</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参与标准框架搭建与标准编制说明编制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8</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 xml:space="preserve">王 </w:t>
            </w:r>
            <w:r>
              <w:rPr>
                <w:sz w:val="28"/>
                <w:szCs w:val="28"/>
              </w:rPr>
              <w:t xml:space="preserve"> </w:t>
            </w:r>
            <w:r>
              <w:rPr>
                <w:rFonts w:hint="eastAsia"/>
                <w:sz w:val="28"/>
                <w:szCs w:val="28"/>
              </w:rPr>
              <w:t>卿</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江苏省质量和标准化研究院</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参与标准框架搭建，协助标准内容、编制说明的编制、修改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9</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 xml:space="preserve">熊 </w:t>
            </w:r>
            <w:r>
              <w:rPr>
                <w:sz w:val="28"/>
                <w:szCs w:val="28"/>
              </w:rPr>
              <w:t xml:space="preserve"> </w:t>
            </w:r>
            <w:r>
              <w:rPr>
                <w:rFonts w:hint="eastAsia"/>
                <w:sz w:val="28"/>
                <w:szCs w:val="28"/>
              </w:rPr>
              <w:t>鹰</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参与标准内容编制，协助标准编制说明编写。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1</w:t>
            </w:r>
            <w:r>
              <w:rPr>
                <w:sz w:val="28"/>
                <w:szCs w:val="28"/>
              </w:rPr>
              <w:t>0</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宋峥嵘</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参与标准内容编制，协助标准编制说明编写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1</w:t>
            </w:r>
            <w:r>
              <w:rPr>
                <w:sz w:val="28"/>
                <w:szCs w:val="28"/>
              </w:rPr>
              <w:t>1</w:t>
            </w:r>
          </w:p>
        </w:tc>
        <w:tc>
          <w:tcPr>
            <w:tcW w:w="1276" w:type="dxa"/>
            <w:vAlign w:val="center"/>
          </w:tcPr>
          <w:p>
            <w:pPr>
              <w:pStyle w:val="5"/>
              <w:shd w:val="clear" w:color="auto" w:fill="auto"/>
              <w:adjustRightInd w:val="0"/>
              <w:snapToGrid w:val="0"/>
              <w:spacing w:line="240" w:lineRule="auto"/>
              <w:ind w:firstLine="0" w:firstLineChars="0"/>
              <w:jc w:val="center"/>
              <w:rPr>
                <w:sz w:val="28"/>
                <w:szCs w:val="28"/>
              </w:rPr>
            </w:pPr>
            <w:r>
              <w:rPr>
                <w:rFonts w:hint="eastAsia"/>
                <w:sz w:val="28"/>
                <w:szCs w:val="28"/>
              </w:rPr>
              <w:t xml:space="preserve">张 </w:t>
            </w:r>
            <w:r>
              <w:rPr>
                <w:sz w:val="28"/>
                <w:szCs w:val="28"/>
              </w:rPr>
              <w:t xml:space="preserve"> </w:t>
            </w:r>
            <w:r>
              <w:rPr>
                <w:rFonts w:hint="eastAsia"/>
                <w:sz w:val="28"/>
                <w:szCs w:val="28"/>
              </w:rPr>
              <w:t>青</w:t>
            </w:r>
          </w:p>
        </w:tc>
        <w:tc>
          <w:tcPr>
            <w:tcW w:w="382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江苏省科学技术情报研究所</w:t>
            </w:r>
          </w:p>
        </w:tc>
        <w:tc>
          <w:tcPr>
            <w:tcW w:w="2977" w:type="dxa"/>
            <w:vAlign w:val="center"/>
          </w:tcPr>
          <w:p>
            <w:pPr>
              <w:pStyle w:val="5"/>
              <w:shd w:val="clear" w:color="auto" w:fill="auto"/>
              <w:adjustRightInd w:val="0"/>
              <w:snapToGrid w:val="0"/>
              <w:spacing w:line="240" w:lineRule="auto"/>
              <w:ind w:firstLine="0" w:firstLineChars="0"/>
              <w:rPr>
                <w:sz w:val="28"/>
                <w:szCs w:val="28"/>
              </w:rPr>
            </w:pPr>
            <w:r>
              <w:rPr>
                <w:rFonts w:hint="eastAsia"/>
                <w:sz w:val="28"/>
                <w:szCs w:val="28"/>
              </w:rPr>
              <w:t>协助标准编写和文档的整理</w:t>
            </w:r>
          </w:p>
        </w:tc>
      </w:tr>
    </w:tbl>
    <w:p>
      <w:pPr>
        <w:pStyle w:val="5"/>
        <w:ind w:firstLine="643"/>
        <w:rPr>
          <w:b/>
          <w:bCs/>
        </w:rPr>
      </w:pPr>
    </w:p>
    <w:p>
      <w:pPr>
        <w:pStyle w:val="5"/>
        <w:ind w:firstLine="643"/>
      </w:pPr>
      <w:r>
        <w:rPr>
          <w:rFonts w:hint="eastAsia"/>
          <w:b/>
          <w:bCs/>
        </w:rPr>
        <w:t>四、编制过程</w:t>
      </w:r>
    </w:p>
    <w:p>
      <w:pPr>
        <w:pStyle w:val="5"/>
      </w:pPr>
      <w:r>
        <w:rPr>
          <w:rFonts w:hint="eastAsia"/>
        </w:rPr>
        <w:t>标准编制工作现主要分四个阶段：</w:t>
      </w:r>
    </w:p>
    <w:p>
      <w:pPr>
        <w:pStyle w:val="5"/>
      </w:pPr>
      <w:r>
        <w:rPr>
          <w:rFonts w:hint="eastAsia"/>
        </w:rPr>
        <w:t>第一阶段：前期预研</w:t>
      </w:r>
    </w:p>
    <w:p>
      <w:pPr>
        <w:pStyle w:val="5"/>
      </w:pPr>
      <w:r>
        <w:rPr>
          <w:rFonts w:hint="eastAsia"/>
        </w:rPr>
        <w:t>2020年6月-12月，为有效开展标准的制定工作，调研了我省省级与地市级科技计划项目体系与特点，开发了地市级科技报告管理系统，研究了省级科技计划项目中基础研究计划、重点研发计划创新能力建设、创新支撑计划以及科技成果转化专项资金的特点与管理过程，针对每一类计划的特点形成其科技报告的撰写要点、提交节点以及撰写模板，为编制《科技报告编写规范》地方标准打下了理论和实践基础。</w:t>
      </w:r>
    </w:p>
    <w:p>
      <w:pPr>
        <w:pStyle w:val="5"/>
      </w:pPr>
      <w:r>
        <w:rPr>
          <w:rFonts w:hint="eastAsia"/>
        </w:rPr>
        <w:t>第二阶段：成立起草小组，确定标准基本框架</w:t>
      </w:r>
    </w:p>
    <w:p>
      <w:pPr>
        <w:pStyle w:val="5"/>
      </w:pPr>
      <w:r>
        <w:rPr>
          <w:rFonts w:hint="eastAsia"/>
        </w:rPr>
        <w:t>2021年1月-4月，江苏省科学技术情报研究所成立了标准起草小组，制定了工作进度计划，结合科技报告工作的要求以及科技管理日常工作中总结的实际经验，确定了标准的基本框架。</w:t>
      </w:r>
    </w:p>
    <w:p>
      <w:pPr>
        <w:pStyle w:val="5"/>
      </w:pPr>
      <w:r>
        <w:rPr>
          <w:rFonts w:hint="eastAsia"/>
        </w:rPr>
        <w:t>第三阶段：标准起草</w:t>
      </w:r>
    </w:p>
    <w:p>
      <w:pPr>
        <w:pStyle w:val="5"/>
      </w:pPr>
      <w:r>
        <w:rPr>
          <w:rFonts w:hint="eastAsia"/>
        </w:rPr>
        <w:t>2021年5月-10月，起草小组在前期调查研究、资料收集分析、工作总结的基础上，参考GB/T 7713.3《科技报告编写规则》、GB/T 7714《信息与文献 参考文献著录规则》、</w:t>
      </w:r>
      <w:r>
        <w:rPr>
          <w:rFonts w:hint="eastAsia"/>
          <w:color w:val="000000"/>
        </w:rPr>
        <w:t>GB/T 1.1-2020《标准化工作导则 第1部分：标准化文件的结构和起草规则》、GB/T 20001.5-2017《标准编写规则 第5部分：规范标准》等相关标准文件</w:t>
      </w:r>
      <w:r>
        <w:rPr>
          <w:rFonts w:hint="eastAsia"/>
        </w:rPr>
        <w:t>，同时结合具体工作实际，</w:t>
      </w:r>
      <w:r>
        <w:rPr>
          <w:rFonts w:hint="eastAsia"/>
          <w:color w:val="000000"/>
        </w:rPr>
        <w:t>形成</w:t>
      </w:r>
      <w:r>
        <w:rPr>
          <w:rFonts w:hint="eastAsia"/>
          <w:b/>
          <w:color w:val="000000"/>
        </w:rPr>
        <w:t>标准草案（初稿）</w:t>
      </w:r>
      <w:r>
        <w:rPr>
          <w:rFonts w:hint="eastAsia"/>
          <w:color w:val="000000"/>
        </w:rPr>
        <w:t>。</w:t>
      </w:r>
    </w:p>
    <w:p>
      <w:pPr>
        <w:pStyle w:val="5"/>
        <w:rPr>
          <w:color w:val="000000"/>
        </w:rPr>
      </w:pPr>
      <w:r>
        <w:rPr>
          <w:rFonts w:hint="eastAsia"/>
        </w:rPr>
        <w:t>第四阶段：标准研讨</w:t>
      </w:r>
    </w:p>
    <w:p>
      <w:pPr>
        <w:pStyle w:val="5"/>
      </w:pPr>
      <w:r>
        <w:rPr>
          <w:rFonts w:hint="eastAsia"/>
          <w:color w:val="000000" w:themeColor="text1"/>
          <w14:textFill>
            <w14:solidFill>
              <w14:schemeClr w14:val="tx1"/>
            </w14:solidFill>
          </w14:textFill>
        </w:rPr>
        <w:t>2021年11月</w:t>
      </w:r>
      <w:r>
        <w:rPr>
          <w:rFonts w:hint="eastAsia"/>
        </w:rPr>
        <w:t>-2022年8月，</w:t>
      </w:r>
      <w:r>
        <w:rPr>
          <w:rFonts w:hint="eastAsia"/>
          <w:color w:val="000000" w:themeColor="text1"/>
          <w14:textFill>
            <w14:solidFill>
              <w14:schemeClr w14:val="tx1"/>
            </w14:solidFill>
          </w14:textFill>
        </w:rPr>
        <w:t>起草小组在完善标准的同时，</w:t>
      </w:r>
      <w:r>
        <w:rPr>
          <w:rFonts w:hint="eastAsia"/>
          <w:shd w:val="clear" w:color="auto" w:fill="FFFFFF"/>
        </w:rPr>
        <w:t>赴扬州市科学技术情报研究所开展苏中地区科技报告地方标准现状调研</w:t>
      </w:r>
      <w:r>
        <w:rPr>
          <w:rFonts w:hint="eastAsia"/>
        </w:rPr>
        <w:t>。在</w:t>
      </w:r>
      <w:r>
        <w:rPr>
          <w:rFonts w:hint="eastAsia"/>
          <w:shd w:val="clear" w:color="auto" w:fill="FFFFFF"/>
        </w:rPr>
        <w:t>标准要素的系统性和完整性、指标参数是否科学合理以及可行性等方面</w:t>
      </w:r>
      <w:r>
        <w:rPr>
          <w:rFonts w:hint="eastAsia"/>
        </w:rPr>
        <w:t>做出了修改，</w:t>
      </w:r>
      <w:r>
        <w:rPr>
          <w:rFonts w:hint="eastAsia"/>
          <w:shd w:val="clear" w:color="auto" w:fill="FFFFFF"/>
        </w:rPr>
        <w:t>确保标准的可操作性和引领性</w:t>
      </w:r>
      <w:r>
        <w:rPr>
          <w:rFonts w:hint="eastAsia"/>
        </w:rPr>
        <w:t>。</w:t>
      </w:r>
    </w:p>
    <w:p>
      <w:pPr>
        <w:pStyle w:val="5"/>
      </w:pPr>
      <w:r>
        <w:rPr>
          <w:rFonts w:hint="eastAsia"/>
          <w:color w:val="000000" w:themeColor="text1"/>
          <w14:textFill>
            <w14:solidFill>
              <w14:schemeClr w14:val="tx1"/>
            </w14:solidFill>
          </w14:textFill>
        </w:rPr>
        <w:t>2022年9月</w:t>
      </w:r>
      <w:r>
        <w:rPr>
          <w:rFonts w:hint="eastAsia"/>
        </w:rPr>
        <w:t>，起草小组召开工作组会议，根据相关意见建议，进一步充实完善标准内容，形成</w:t>
      </w:r>
      <w:r>
        <w:rPr>
          <w:rFonts w:hint="eastAsia"/>
          <w:b/>
        </w:rPr>
        <w:t>工作组讨论稿</w:t>
      </w:r>
      <w:r>
        <w:rPr>
          <w:rFonts w:hint="eastAsia"/>
        </w:rPr>
        <w:t>。</w:t>
      </w:r>
    </w:p>
    <w:p>
      <w:pPr>
        <w:pStyle w:val="5"/>
      </w:pPr>
      <w:r>
        <w:rPr>
          <w:rFonts w:hint="eastAsia"/>
          <w:color w:val="000000" w:themeColor="text1"/>
          <w14:textFill>
            <w14:solidFill>
              <w14:schemeClr w14:val="tx1"/>
            </w14:solidFill>
          </w14:textFill>
        </w:rPr>
        <w:t>2022年10月</w:t>
      </w:r>
      <w:r>
        <w:rPr>
          <w:rFonts w:hint="eastAsia"/>
        </w:rPr>
        <w:t>-2023年2月，</w:t>
      </w:r>
      <w:r>
        <w:rPr>
          <w:rFonts w:hint="eastAsia"/>
          <w:color w:val="000000" w:themeColor="text1"/>
          <w14:textFill>
            <w14:solidFill>
              <w14:schemeClr w14:val="tx1"/>
            </w14:solidFill>
          </w14:textFill>
        </w:rPr>
        <w:t>起草小组</w:t>
      </w:r>
      <w:r>
        <w:rPr>
          <w:rFonts w:hint="eastAsia"/>
          <w:shd w:val="clear" w:color="auto" w:fill="FFFFFF"/>
        </w:rPr>
        <w:t>赴苏州市相城区科学技术局、宿迁市泗洪县科学技术局开展苏南、苏北地区科技报告地方标准现状调研</w:t>
      </w:r>
      <w:r>
        <w:rPr>
          <w:rFonts w:hint="eastAsia"/>
        </w:rPr>
        <w:t>。调研期间与多家企业代表</w:t>
      </w:r>
      <w:r>
        <w:rPr>
          <w:rFonts w:hint="eastAsia"/>
          <w:shd w:val="clear" w:color="auto" w:fill="FFFFFF"/>
        </w:rPr>
        <w:t>就材料提供、细化分类等方面</w:t>
      </w:r>
      <w:r>
        <w:rPr>
          <w:rFonts w:hint="eastAsia"/>
        </w:rPr>
        <w:t>进行了深</w:t>
      </w:r>
      <w:r>
        <w:rPr>
          <w:rFonts w:hint="eastAsia"/>
          <w:color w:val="333333"/>
          <w:shd w:val="clear" w:color="auto" w:fill="FFFFFF"/>
        </w:rPr>
        <w:t>入交流与探讨。调研结束后，</w:t>
      </w:r>
      <w:r>
        <w:rPr>
          <w:rFonts w:hint="eastAsia"/>
        </w:rPr>
        <w:t>起草小组召开标准研讨会，梳理调研成果，在实际操作层面对标准进一步完善，增强了标准的专业性、实用性</w:t>
      </w:r>
      <w:bookmarkStart w:id="0" w:name="_Hlk133495635"/>
      <w:r>
        <w:rPr>
          <w:rFonts w:hint="eastAsia"/>
        </w:rPr>
        <w:t>，形成</w:t>
      </w:r>
      <w:bookmarkEnd w:id="0"/>
      <w:r>
        <w:rPr>
          <w:rFonts w:hint="eastAsia"/>
          <w:b/>
          <w:color w:val="000000" w:themeColor="text1"/>
          <w14:textFill>
            <w14:solidFill>
              <w14:schemeClr w14:val="tx1"/>
            </w14:solidFill>
          </w14:textFill>
        </w:rPr>
        <w:t>标准征求意见稿</w:t>
      </w:r>
      <w:r>
        <w:rPr>
          <w:rFonts w:hint="eastAsia"/>
        </w:rPr>
        <w:t>。</w:t>
      </w:r>
    </w:p>
    <w:p>
      <w:pPr>
        <w:pStyle w:val="5"/>
      </w:pPr>
      <w:r>
        <w:rPr>
          <w:rFonts w:hint="eastAsia"/>
        </w:rPr>
        <w:t>2023年3月-4月，省科技情报所向社会各界公开征求意见，共发出14份意见反馈表，包括政府部门、高等院校、科研院所、企事业单位等，收到意见反馈14份，其中有修改意见13份、无修改意见1份。共征集27条修改意见，其中采纳17条，部分采纳5条，未采纳5条，形成征求意见汇总处理表。</w:t>
      </w:r>
    </w:p>
    <w:p>
      <w:pPr>
        <w:pStyle w:val="5"/>
        <w:rPr>
          <w:color w:val="333333"/>
          <w:shd w:val="clear" w:color="auto" w:fill="FFFFFF"/>
        </w:rPr>
      </w:pPr>
      <w:r>
        <w:rPr>
          <w:rFonts w:hint="eastAsia"/>
        </w:rPr>
        <w:t>2023年5月，起草小组在南京召开了由南京财经大学、浦口区科学技术局、中铁十四局大盾构公司、南通理工学院、江苏省农业科学院等单位专家参加的</w:t>
      </w:r>
      <w:r>
        <w:rPr>
          <w:rFonts w:hint="eastAsia"/>
          <w:color w:val="333333"/>
          <w:shd w:val="clear" w:color="auto" w:fill="FFFFFF"/>
        </w:rPr>
        <w:t>专家预审会，会议就标准技术内容的科学性和可操作性给出了多条修改建议，起草小组根据建议修改了标准征求意见稿。</w:t>
      </w:r>
    </w:p>
    <w:p>
      <w:pPr>
        <w:pStyle w:val="5"/>
        <w:rPr>
          <w:rFonts w:hint="eastAsia"/>
        </w:rPr>
      </w:pPr>
      <w:r>
        <w:rPr>
          <w:rFonts w:hint="eastAsia"/>
          <w:color w:val="333333"/>
          <w:shd w:val="clear" w:color="auto" w:fill="FFFFFF"/>
        </w:rPr>
        <w:t>2024年1月，</w:t>
      </w:r>
      <w:r>
        <w:rPr>
          <w:rFonts w:hint="eastAsia"/>
        </w:rPr>
        <w:t>起草小组在南京召开了由江苏省科学技术厅、江苏省农业科学院、浦口区科学技术局、南京市标准化研究院、南京财经大学专家参加的标准研讨会，会议就标准内容、以及后续实施宣传等给出了具体的意见建议，补充了征求意见1</w:t>
      </w:r>
      <w:r>
        <w:t>3</w:t>
      </w:r>
      <w:r>
        <w:rPr>
          <w:rFonts w:hint="eastAsia"/>
        </w:rPr>
        <w:t>条，其中采纳</w:t>
      </w:r>
      <w:r>
        <w:t>11</w:t>
      </w:r>
      <w:r>
        <w:rPr>
          <w:rFonts w:hint="eastAsia"/>
        </w:rPr>
        <w:t>条，未采纳</w:t>
      </w:r>
      <w:r>
        <w:t>2</w:t>
      </w:r>
      <w:r>
        <w:rPr>
          <w:rFonts w:hint="eastAsia"/>
        </w:rPr>
        <w:t>条，形成最终征求意见汇总处理表。本标准共征集</w:t>
      </w:r>
      <w:r>
        <w:t>40</w:t>
      </w:r>
      <w:r>
        <w:rPr>
          <w:rFonts w:hint="eastAsia"/>
        </w:rPr>
        <w:t>条修改意见，其中采纳2</w:t>
      </w:r>
      <w:r>
        <w:t>8</w:t>
      </w:r>
      <w:r>
        <w:rPr>
          <w:rFonts w:hint="eastAsia"/>
        </w:rPr>
        <w:t>条，部分采纳5条，未采纳</w:t>
      </w:r>
      <w:r>
        <w:t>7</w:t>
      </w:r>
      <w:r>
        <w:rPr>
          <w:rFonts w:hint="eastAsia"/>
        </w:rPr>
        <w:t>条，起草小组根据意见修改形成</w:t>
      </w:r>
      <w:r>
        <w:rPr>
          <w:rFonts w:hint="eastAsia"/>
          <w:b/>
          <w:bCs/>
        </w:rPr>
        <w:t>标准送审稿</w:t>
      </w:r>
      <w:r>
        <w:rPr>
          <w:rFonts w:hint="eastAsia"/>
        </w:rPr>
        <w:t>。</w:t>
      </w:r>
    </w:p>
    <w:p>
      <w:pPr>
        <w:pStyle w:val="5"/>
        <w:rPr>
          <w:rFonts w:hint="default" w:eastAsia="方正仿宋_GBK"/>
          <w:lang w:val="en-US" w:eastAsia="zh-CN"/>
        </w:rPr>
      </w:pPr>
      <w:r>
        <w:rPr>
          <w:rFonts w:hint="eastAsia"/>
          <w:lang w:val="en-US" w:eastAsia="zh-CN"/>
        </w:rPr>
        <w:t>2024年4月，起草小组在南京召开了由江苏省科学技术厅、浦口区科学技术局、南京信息工程大学、中电互联先进制造研究院、中国科学院南京土壤研究所专家参加的标准审查会，会议就标准内容、数据汇交以及推广实施引导等给出了具体意见建议。补充了征求意见5条，采纳5条，形成征求意见汇总处理表。</w:t>
      </w:r>
      <w:r>
        <w:rPr>
          <w:rFonts w:hint="eastAsia"/>
        </w:rPr>
        <w:t>本标准共征集</w:t>
      </w:r>
      <w:r>
        <w:t>4</w:t>
      </w:r>
      <w:r>
        <w:rPr>
          <w:rFonts w:hint="eastAsia"/>
          <w:lang w:val="en-US" w:eastAsia="zh-CN"/>
        </w:rPr>
        <w:t>5</w:t>
      </w:r>
      <w:r>
        <w:rPr>
          <w:rFonts w:hint="eastAsia"/>
        </w:rPr>
        <w:t>条修改意见，其中采纳</w:t>
      </w:r>
      <w:r>
        <w:rPr>
          <w:rFonts w:hint="eastAsia"/>
          <w:lang w:val="en-US" w:eastAsia="zh-CN"/>
        </w:rPr>
        <w:t>33</w:t>
      </w:r>
      <w:r>
        <w:rPr>
          <w:rFonts w:hint="eastAsia"/>
        </w:rPr>
        <w:t>条，部分采纳5条，未采纳</w:t>
      </w:r>
      <w:r>
        <w:t>7</w:t>
      </w:r>
      <w:r>
        <w:rPr>
          <w:rFonts w:hint="eastAsia"/>
        </w:rPr>
        <w:t>条，起草小组根据意见修改形成</w:t>
      </w:r>
      <w:r>
        <w:rPr>
          <w:rFonts w:hint="eastAsia"/>
          <w:b/>
          <w:bCs/>
        </w:rPr>
        <w:t>标准</w:t>
      </w:r>
      <w:r>
        <w:rPr>
          <w:rFonts w:hint="eastAsia"/>
          <w:b/>
          <w:bCs/>
          <w:lang w:val="en-US" w:eastAsia="zh-CN"/>
        </w:rPr>
        <w:t>报批</w:t>
      </w:r>
      <w:bookmarkStart w:id="1" w:name="_GoBack"/>
      <w:bookmarkEnd w:id="1"/>
      <w:r>
        <w:rPr>
          <w:rFonts w:hint="eastAsia"/>
          <w:b/>
          <w:bCs/>
        </w:rPr>
        <w:t>稿</w:t>
      </w:r>
      <w:r>
        <w:rPr>
          <w:rFonts w:hint="eastAsia"/>
        </w:rPr>
        <w:t>。</w:t>
      </w:r>
    </w:p>
    <w:p>
      <w:pPr>
        <w:pStyle w:val="5"/>
        <w:ind w:firstLine="643"/>
      </w:pPr>
      <w:r>
        <w:rPr>
          <w:rFonts w:hint="eastAsia"/>
          <w:b/>
          <w:bCs/>
        </w:rPr>
        <w:t>五、主要内容技术指标确立</w:t>
      </w:r>
    </w:p>
    <w:p>
      <w:pPr>
        <w:pStyle w:val="5"/>
      </w:pPr>
      <w:r>
        <w:rPr>
          <w:rFonts w:hint="eastAsia"/>
        </w:rPr>
        <w:t>本标准建立了江苏科技报告编写规范，为进行江苏科技报告编写、改写以及审核提供依据。标准主要内容包含6个部分，包括范围、规范性引用文件、术语和定义、编写内容要求、编写总体要求和编排格式要求以及附录A-H的江苏科技报告撰写模板。</w:t>
      </w:r>
    </w:p>
    <w:p>
      <w:pPr>
        <w:pStyle w:val="5"/>
      </w:pPr>
      <w:r>
        <w:rPr>
          <w:rFonts w:hint="eastAsia"/>
        </w:rPr>
        <w:t>第一部分为范围说明。本标准规定了科技报告的编写内容要求、编写总体要求和编排格式要求，适用于承担江苏省科技计划项目基础研究、重点研发、科技成果转化专项资金、创新能力建设、创新支撑计划等的研究或开发过程中撰写的科技报告。</w:t>
      </w:r>
    </w:p>
    <w:p>
      <w:pPr>
        <w:pStyle w:val="5"/>
      </w:pPr>
      <w:r>
        <w:rPr>
          <w:rFonts w:hint="eastAsia"/>
        </w:rPr>
        <w:t>第二部分为规范性引用文件。本标准的引用文件包括：GB/T 7713.3《科技报告编写规则》、GB/T 7714《信息与文献 参考文献著录规则》。</w:t>
      </w:r>
    </w:p>
    <w:p>
      <w:pPr>
        <w:pStyle w:val="5"/>
      </w:pPr>
      <w:r>
        <w:rPr>
          <w:rFonts w:hint="eastAsia"/>
        </w:rPr>
        <w:t>第三部分为术语和定义。</w:t>
      </w:r>
    </w:p>
    <w:p>
      <w:pPr>
        <w:pStyle w:val="5"/>
      </w:pPr>
      <w:r>
        <w:rPr>
          <w:rFonts w:hint="eastAsia"/>
        </w:rPr>
        <w:t>第四部分为江苏科技报告的编写内容要求。细化分类为：基础研究计划与重点研发计划、科技成果转化专项资金项目、创新能力建设计划和创新支撑计划。</w:t>
      </w:r>
    </w:p>
    <w:p>
      <w:pPr>
        <w:pStyle w:val="5"/>
      </w:pPr>
      <w:r>
        <w:rPr>
          <w:rFonts w:hint="eastAsia"/>
        </w:rPr>
        <w:t>第五部分为编写总体要求，包括江苏科技报告编写过程中的一般格式要求。</w:t>
      </w:r>
    </w:p>
    <w:p>
      <w:pPr>
        <w:pStyle w:val="5"/>
      </w:pPr>
      <w:r>
        <w:rPr>
          <w:rFonts w:hint="eastAsia"/>
        </w:rPr>
        <w:t>第六部分为编排格式要求，包括：报告结构、封面、辑要、目录、插图和附表清单、正文和附录。</w:t>
      </w:r>
    </w:p>
    <w:p>
      <w:pPr>
        <w:pStyle w:val="5"/>
      </w:pPr>
      <w:r>
        <w:rPr>
          <w:rFonts w:hint="eastAsia"/>
        </w:rPr>
        <w:t>附录A-H分别为：基础研究计划（撰写模板）、重点研发计划（撰写模板）、科技成果转化专项资金（撰写模板）、创新能力建设计划（撰写模板）、创新支撑计划（国际科技合作/港澳台科技合作）（撰写模板）、创新支撑计划（科技型创业企业孵育）（撰写模板）、科技报告撰写模板和科技报告封面格式。</w:t>
      </w:r>
    </w:p>
    <w:p>
      <w:pPr>
        <w:pStyle w:val="5"/>
        <w:ind w:firstLine="643"/>
      </w:pPr>
      <w:r>
        <w:rPr>
          <w:rFonts w:hint="eastAsia"/>
          <w:b/>
          <w:bCs/>
        </w:rPr>
        <w:t>六、重大分歧意见的处理过程和依据</w:t>
      </w:r>
    </w:p>
    <w:p>
      <w:pPr>
        <w:pStyle w:val="5"/>
      </w:pPr>
      <w:r>
        <w:rPr>
          <w:rFonts w:hint="eastAsia"/>
        </w:rPr>
        <w:t>不涉及。</w:t>
      </w:r>
    </w:p>
    <w:p>
      <w:pPr>
        <w:pStyle w:val="5"/>
        <w:ind w:firstLine="643"/>
      </w:pPr>
      <w:r>
        <w:rPr>
          <w:rFonts w:hint="eastAsia"/>
          <w:b/>
          <w:bCs/>
        </w:rPr>
        <w:t>七、与相关法律法规和国家标准的关系</w:t>
      </w:r>
    </w:p>
    <w:p>
      <w:pPr>
        <w:pStyle w:val="5"/>
      </w:pPr>
      <w:r>
        <w:rPr>
          <w:rFonts w:hint="eastAsia"/>
        </w:rPr>
        <w:t>本标准的技术内容符合《国务院办公厅转发科技部关于加快建立国家科技报告制度指导意见的通知》（国办发〔2014〕43号）、《江苏省科学技术厅关于印发&lt;省科技报告制度建设实施方案&gt;的通知》（苏科计发〔2015〕228号）等文件精神要求。</w:t>
      </w:r>
    </w:p>
    <w:p>
      <w:pPr>
        <w:pStyle w:val="5"/>
        <w:ind w:firstLine="643"/>
      </w:pPr>
      <w:r>
        <w:rPr>
          <w:rFonts w:hint="eastAsia"/>
          <w:b/>
          <w:bCs/>
        </w:rPr>
        <w:t>八、对标准性质的建议</w:t>
      </w:r>
    </w:p>
    <w:p>
      <w:pPr>
        <w:pStyle w:val="5"/>
      </w:pPr>
      <w:r>
        <w:rPr>
          <w:rFonts w:hint="eastAsia"/>
        </w:rPr>
        <w:t>建议本标准作为推荐性标准发布。</w:t>
      </w:r>
    </w:p>
    <w:p>
      <w:pPr>
        <w:pStyle w:val="5"/>
        <w:ind w:firstLine="643"/>
      </w:pPr>
      <w:r>
        <w:rPr>
          <w:rFonts w:hint="eastAsia"/>
          <w:b/>
          <w:bCs/>
        </w:rPr>
        <w:t>九、实施推广建议</w:t>
      </w:r>
    </w:p>
    <w:p>
      <w:pPr>
        <w:pStyle w:val="5"/>
      </w:pPr>
      <w:r>
        <w:rPr>
          <w:rFonts w:hint="eastAsia"/>
        </w:rPr>
        <w:t>本标准发布后，将作为江苏科技报告编写、改写、审核的参考依据在本省全面推广使用。建议结合科技体制改革要求，对报告进行及时修订，定期更新标准模板；归口单位广泛开展标准宣传活动，加强调研走访，组织相关项目承担单位的针对性辅导。</w:t>
      </w:r>
    </w:p>
    <w:sectPr>
      <w:footerReference r:id="rId3" w:type="default"/>
      <w:pgSz w:w="11906" w:h="16838"/>
      <w:pgMar w:top="1814" w:right="1531" w:bottom="1984" w:left="1531"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609477"/>
    </w:sdtPr>
    <w:sdtContent>
      <w:p>
        <w:pPr>
          <w:pStyle w:val="3"/>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6</w:t>
        </w:r>
        <w:r>
          <w:rPr>
            <w:rFonts w:ascii="Times New Roman" w:hAnsi="Times New Roman" w:cs="Times New Roman"/>
            <w:sz w:val="21"/>
            <w:szCs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RlY2NhNjc4ODY0MDBjNWRjZTllYzI0MTdjNWNlNzgifQ=="/>
  </w:docVars>
  <w:rsids>
    <w:rsidRoot w:val="007D6DF6"/>
    <w:rsid w:val="000016CA"/>
    <w:rsid w:val="00001765"/>
    <w:rsid w:val="00010F9A"/>
    <w:rsid w:val="00014887"/>
    <w:rsid w:val="0002697D"/>
    <w:rsid w:val="00026C12"/>
    <w:rsid w:val="00032A3E"/>
    <w:rsid w:val="00036DD5"/>
    <w:rsid w:val="00040077"/>
    <w:rsid w:val="000505F6"/>
    <w:rsid w:val="00052046"/>
    <w:rsid w:val="00052710"/>
    <w:rsid w:val="0007006A"/>
    <w:rsid w:val="00072172"/>
    <w:rsid w:val="00072BB4"/>
    <w:rsid w:val="00080F75"/>
    <w:rsid w:val="00084E81"/>
    <w:rsid w:val="0008547A"/>
    <w:rsid w:val="00085B02"/>
    <w:rsid w:val="000925C3"/>
    <w:rsid w:val="00095DAC"/>
    <w:rsid w:val="000A7515"/>
    <w:rsid w:val="000A79C9"/>
    <w:rsid w:val="000B1CEC"/>
    <w:rsid w:val="000B2159"/>
    <w:rsid w:val="000B534E"/>
    <w:rsid w:val="000B7650"/>
    <w:rsid w:val="000C08CA"/>
    <w:rsid w:val="000C5D84"/>
    <w:rsid w:val="000C681C"/>
    <w:rsid w:val="000C7C8B"/>
    <w:rsid w:val="000E21B4"/>
    <w:rsid w:val="000E2BEB"/>
    <w:rsid w:val="000E455E"/>
    <w:rsid w:val="000E548A"/>
    <w:rsid w:val="000F027F"/>
    <w:rsid w:val="000F4037"/>
    <w:rsid w:val="00100D9D"/>
    <w:rsid w:val="0011610A"/>
    <w:rsid w:val="001179EF"/>
    <w:rsid w:val="00117BC6"/>
    <w:rsid w:val="001279D9"/>
    <w:rsid w:val="001333B3"/>
    <w:rsid w:val="00136FA3"/>
    <w:rsid w:val="001429A2"/>
    <w:rsid w:val="00146123"/>
    <w:rsid w:val="00150935"/>
    <w:rsid w:val="00151C0C"/>
    <w:rsid w:val="001525B1"/>
    <w:rsid w:val="0015316D"/>
    <w:rsid w:val="00153267"/>
    <w:rsid w:val="00153A1A"/>
    <w:rsid w:val="00153A6F"/>
    <w:rsid w:val="00162135"/>
    <w:rsid w:val="001671FD"/>
    <w:rsid w:val="00176A1A"/>
    <w:rsid w:val="001822A9"/>
    <w:rsid w:val="001851F3"/>
    <w:rsid w:val="00185DEF"/>
    <w:rsid w:val="00190A86"/>
    <w:rsid w:val="001A4030"/>
    <w:rsid w:val="001A4B11"/>
    <w:rsid w:val="001A4BD2"/>
    <w:rsid w:val="001A56B7"/>
    <w:rsid w:val="001A648F"/>
    <w:rsid w:val="001A6E3B"/>
    <w:rsid w:val="001B27B1"/>
    <w:rsid w:val="001B64A8"/>
    <w:rsid w:val="001C1FE6"/>
    <w:rsid w:val="001C364D"/>
    <w:rsid w:val="001C5AAF"/>
    <w:rsid w:val="001C5D90"/>
    <w:rsid w:val="001C6CE8"/>
    <w:rsid w:val="001D4711"/>
    <w:rsid w:val="001D4ADE"/>
    <w:rsid w:val="001D5D89"/>
    <w:rsid w:val="001D61BE"/>
    <w:rsid w:val="001E1C7A"/>
    <w:rsid w:val="001E5D07"/>
    <w:rsid w:val="001F66EB"/>
    <w:rsid w:val="002102A8"/>
    <w:rsid w:val="00216722"/>
    <w:rsid w:val="002358CD"/>
    <w:rsid w:val="002404DC"/>
    <w:rsid w:val="00240AF2"/>
    <w:rsid w:val="002429AA"/>
    <w:rsid w:val="00254234"/>
    <w:rsid w:val="0025739C"/>
    <w:rsid w:val="0026168E"/>
    <w:rsid w:val="002731C4"/>
    <w:rsid w:val="00291945"/>
    <w:rsid w:val="0029516A"/>
    <w:rsid w:val="002A2E9F"/>
    <w:rsid w:val="002A6C2F"/>
    <w:rsid w:val="002B5C18"/>
    <w:rsid w:val="002B79B3"/>
    <w:rsid w:val="002C19D3"/>
    <w:rsid w:val="002D137C"/>
    <w:rsid w:val="002D7150"/>
    <w:rsid w:val="002E1995"/>
    <w:rsid w:val="002E5398"/>
    <w:rsid w:val="002E6A55"/>
    <w:rsid w:val="002F1845"/>
    <w:rsid w:val="0030402B"/>
    <w:rsid w:val="00304BB7"/>
    <w:rsid w:val="00306C3F"/>
    <w:rsid w:val="00310472"/>
    <w:rsid w:val="00310C6C"/>
    <w:rsid w:val="00312200"/>
    <w:rsid w:val="003161E6"/>
    <w:rsid w:val="00316394"/>
    <w:rsid w:val="00316524"/>
    <w:rsid w:val="00320DCD"/>
    <w:rsid w:val="003324F4"/>
    <w:rsid w:val="003531C4"/>
    <w:rsid w:val="0035740A"/>
    <w:rsid w:val="00357621"/>
    <w:rsid w:val="00367D78"/>
    <w:rsid w:val="003730FB"/>
    <w:rsid w:val="00374396"/>
    <w:rsid w:val="00375E34"/>
    <w:rsid w:val="0038259C"/>
    <w:rsid w:val="00384238"/>
    <w:rsid w:val="00390910"/>
    <w:rsid w:val="00396492"/>
    <w:rsid w:val="003B1531"/>
    <w:rsid w:val="003B65C7"/>
    <w:rsid w:val="003D297B"/>
    <w:rsid w:val="003E253D"/>
    <w:rsid w:val="003E3E93"/>
    <w:rsid w:val="003E4282"/>
    <w:rsid w:val="003F172B"/>
    <w:rsid w:val="00400139"/>
    <w:rsid w:val="00402053"/>
    <w:rsid w:val="00402F19"/>
    <w:rsid w:val="004036D3"/>
    <w:rsid w:val="004044CE"/>
    <w:rsid w:val="00414CC1"/>
    <w:rsid w:val="00416BE4"/>
    <w:rsid w:val="00422011"/>
    <w:rsid w:val="00425093"/>
    <w:rsid w:val="00427DD1"/>
    <w:rsid w:val="00431063"/>
    <w:rsid w:val="0045514E"/>
    <w:rsid w:val="004649F9"/>
    <w:rsid w:val="00477728"/>
    <w:rsid w:val="004909E2"/>
    <w:rsid w:val="0049665E"/>
    <w:rsid w:val="004B6706"/>
    <w:rsid w:val="004C07B0"/>
    <w:rsid w:val="004C07F2"/>
    <w:rsid w:val="004C19F0"/>
    <w:rsid w:val="004C3C6F"/>
    <w:rsid w:val="004D3CBC"/>
    <w:rsid w:val="004E071F"/>
    <w:rsid w:val="004E5A2D"/>
    <w:rsid w:val="004E5E10"/>
    <w:rsid w:val="004F04F0"/>
    <w:rsid w:val="004F0618"/>
    <w:rsid w:val="004F22E1"/>
    <w:rsid w:val="004F3922"/>
    <w:rsid w:val="004F59D7"/>
    <w:rsid w:val="005009CD"/>
    <w:rsid w:val="00504CDB"/>
    <w:rsid w:val="00512B49"/>
    <w:rsid w:val="00513538"/>
    <w:rsid w:val="005177B1"/>
    <w:rsid w:val="005254B8"/>
    <w:rsid w:val="00537A58"/>
    <w:rsid w:val="00546F3D"/>
    <w:rsid w:val="00551049"/>
    <w:rsid w:val="00557991"/>
    <w:rsid w:val="00571883"/>
    <w:rsid w:val="005951D1"/>
    <w:rsid w:val="005A05C5"/>
    <w:rsid w:val="005A7870"/>
    <w:rsid w:val="005B03A4"/>
    <w:rsid w:val="005B2545"/>
    <w:rsid w:val="005B29B8"/>
    <w:rsid w:val="005B7310"/>
    <w:rsid w:val="005C277F"/>
    <w:rsid w:val="005C428B"/>
    <w:rsid w:val="005C4691"/>
    <w:rsid w:val="005C548C"/>
    <w:rsid w:val="005D0711"/>
    <w:rsid w:val="005D257F"/>
    <w:rsid w:val="005D580D"/>
    <w:rsid w:val="005D7044"/>
    <w:rsid w:val="005D71BF"/>
    <w:rsid w:val="005F3167"/>
    <w:rsid w:val="005F5851"/>
    <w:rsid w:val="00600DFB"/>
    <w:rsid w:val="00605057"/>
    <w:rsid w:val="00605C7C"/>
    <w:rsid w:val="00611447"/>
    <w:rsid w:val="00612B0F"/>
    <w:rsid w:val="0061629C"/>
    <w:rsid w:val="00624954"/>
    <w:rsid w:val="00626917"/>
    <w:rsid w:val="00630110"/>
    <w:rsid w:val="00632EC0"/>
    <w:rsid w:val="00636700"/>
    <w:rsid w:val="00636DF0"/>
    <w:rsid w:val="006373B2"/>
    <w:rsid w:val="00643CC9"/>
    <w:rsid w:val="00650C44"/>
    <w:rsid w:val="006622EC"/>
    <w:rsid w:val="00670B03"/>
    <w:rsid w:val="006810AA"/>
    <w:rsid w:val="00683449"/>
    <w:rsid w:val="0068690F"/>
    <w:rsid w:val="006B1CE6"/>
    <w:rsid w:val="006B3042"/>
    <w:rsid w:val="006B393B"/>
    <w:rsid w:val="006B7FAA"/>
    <w:rsid w:val="006C186C"/>
    <w:rsid w:val="006C289C"/>
    <w:rsid w:val="006C48BB"/>
    <w:rsid w:val="006D00E6"/>
    <w:rsid w:val="006E16AC"/>
    <w:rsid w:val="006E2F31"/>
    <w:rsid w:val="006E306C"/>
    <w:rsid w:val="006E34D3"/>
    <w:rsid w:val="006F3D2B"/>
    <w:rsid w:val="006F61CE"/>
    <w:rsid w:val="006F780F"/>
    <w:rsid w:val="007005F6"/>
    <w:rsid w:val="00701923"/>
    <w:rsid w:val="007044C4"/>
    <w:rsid w:val="00705A97"/>
    <w:rsid w:val="00705F81"/>
    <w:rsid w:val="00712249"/>
    <w:rsid w:val="00712639"/>
    <w:rsid w:val="00722F6E"/>
    <w:rsid w:val="0072319B"/>
    <w:rsid w:val="00724B5C"/>
    <w:rsid w:val="00730962"/>
    <w:rsid w:val="00732DFE"/>
    <w:rsid w:val="0074066F"/>
    <w:rsid w:val="00740B87"/>
    <w:rsid w:val="00745027"/>
    <w:rsid w:val="00752700"/>
    <w:rsid w:val="00757DDB"/>
    <w:rsid w:val="007655B3"/>
    <w:rsid w:val="0077138D"/>
    <w:rsid w:val="007756C6"/>
    <w:rsid w:val="00782EC9"/>
    <w:rsid w:val="007A7F1A"/>
    <w:rsid w:val="007B1A14"/>
    <w:rsid w:val="007C0EB3"/>
    <w:rsid w:val="007C1479"/>
    <w:rsid w:val="007C1AD2"/>
    <w:rsid w:val="007C7DE0"/>
    <w:rsid w:val="007D4AA2"/>
    <w:rsid w:val="007D6DF6"/>
    <w:rsid w:val="007E43A9"/>
    <w:rsid w:val="007E5E0A"/>
    <w:rsid w:val="007E6BD0"/>
    <w:rsid w:val="008027C5"/>
    <w:rsid w:val="0080511D"/>
    <w:rsid w:val="008143C5"/>
    <w:rsid w:val="008166E1"/>
    <w:rsid w:val="00831A53"/>
    <w:rsid w:val="00831F11"/>
    <w:rsid w:val="008374C1"/>
    <w:rsid w:val="00837C46"/>
    <w:rsid w:val="00842BD8"/>
    <w:rsid w:val="008471E5"/>
    <w:rsid w:val="008505FE"/>
    <w:rsid w:val="00850684"/>
    <w:rsid w:val="00861277"/>
    <w:rsid w:val="00862788"/>
    <w:rsid w:val="00862DA9"/>
    <w:rsid w:val="00863176"/>
    <w:rsid w:val="00866E76"/>
    <w:rsid w:val="008725B1"/>
    <w:rsid w:val="0087454A"/>
    <w:rsid w:val="00880FC7"/>
    <w:rsid w:val="00886794"/>
    <w:rsid w:val="008903D3"/>
    <w:rsid w:val="008941F6"/>
    <w:rsid w:val="008B1372"/>
    <w:rsid w:val="008B1ED2"/>
    <w:rsid w:val="008B46A9"/>
    <w:rsid w:val="008C0CFD"/>
    <w:rsid w:val="008C3C1E"/>
    <w:rsid w:val="008C4671"/>
    <w:rsid w:val="008C64D1"/>
    <w:rsid w:val="008D240A"/>
    <w:rsid w:val="008D4450"/>
    <w:rsid w:val="008D5EC3"/>
    <w:rsid w:val="008D6FFD"/>
    <w:rsid w:val="008E207C"/>
    <w:rsid w:val="008E2962"/>
    <w:rsid w:val="008E5486"/>
    <w:rsid w:val="008E6524"/>
    <w:rsid w:val="008F1914"/>
    <w:rsid w:val="008F5403"/>
    <w:rsid w:val="009072A8"/>
    <w:rsid w:val="00907AF1"/>
    <w:rsid w:val="00923A6F"/>
    <w:rsid w:val="0093753D"/>
    <w:rsid w:val="00947E89"/>
    <w:rsid w:val="0095010C"/>
    <w:rsid w:val="00950A67"/>
    <w:rsid w:val="00955FB9"/>
    <w:rsid w:val="00957739"/>
    <w:rsid w:val="00961138"/>
    <w:rsid w:val="0096253E"/>
    <w:rsid w:val="00970761"/>
    <w:rsid w:val="00970979"/>
    <w:rsid w:val="00971856"/>
    <w:rsid w:val="00971ECD"/>
    <w:rsid w:val="00980FBB"/>
    <w:rsid w:val="00983132"/>
    <w:rsid w:val="00990480"/>
    <w:rsid w:val="00994A02"/>
    <w:rsid w:val="009A52C7"/>
    <w:rsid w:val="009B7A2A"/>
    <w:rsid w:val="009C2FD6"/>
    <w:rsid w:val="009C44C5"/>
    <w:rsid w:val="009E1962"/>
    <w:rsid w:val="009F4A38"/>
    <w:rsid w:val="009F5330"/>
    <w:rsid w:val="009F7868"/>
    <w:rsid w:val="00A10F63"/>
    <w:rsid w:val="00A26323"/>
    <w:rsid w:val="00A27384"/>
    <w:rsid w:val="00A41F8D"/>
    <w:rsid w:val="00A44D71"/>
    <w:rsid w:val="00A45A69"/>
    <w:rsid w:val="00A52B54"/>
    <w:rsid w:val="00A5682A"/>
    <w:rsid w:val="00A62987"/>
    <w:rsid w:val="00A71DF8"/>
    <w:rsid w:val="00A7251B"/>
    <w:rsid w:val="00A72A07"/>
    <w:rsid w:val="00A72AEB"/>
    <w:rsid w:val="00AA10E3"/>
    <w:rsid w:val="00AA5E33"/>
    <w:rsid w:val="00AA6970"/>
    <w:rsid w:val="00AB2880"/>
    <w:rsid w:val="00AB4B86"/>
    <w:rsid w:val="00AC0748"/>
    <w:rsid w:val="00AC7D2D"/>
    <w:rsid w:val="00AD0A0E"/>
    <w:rsid w:val="00AD1522"/>
    <w:rsid w:val="00AD3E25"/>
    <w:rsid w:val="00AE04BA"/>
    <w:rsid w:val="00AE0EF6"/>
    <w:rsid w:val="00B009BE"/>
    <w:rsid w:val="00B00F48"/>
    <w:rsid w:val="00B07BC6"/>
    <w:rsid w:val="00B15118"/>
    <w:rsid w:val="00B154D9"/>
    <w:rsid w:val="00B159D0"/>
    <w:rsid w:val="00B27EF7"/>
    <w:rsid w:val="00B32328"/>
    <w:rsid w:val="00B346B1"/>
    <w:rsid w:val="00B454C1"/>
    <w:rsid w:val="00B543E3"/>
    <w:rsid w:val="00B70B17"/>
    <w:rsid w:val="00B762E4"/>
    <w:rsid w:val="00B76C2B"/>
    <w:rsid w:val="00B80E3F"/>
    <w:rsid w:val="00BA67AB"/>
    <w:rsid w:val="00BB1812"/>
    <w:rsid w:val="00BB25CA"/>
    <w:rsid w:val="00BC5E60"/>
    <w:rsid w:val="00BC61ED"/>
    <w:rsid w:val="00BC654E"/>
    <w:rsid w:val="00BD7BFB"/>
    <w:rsid w:val="00BE0D11"/>
    <w:rsid w:val="00BE3057"/>
    <w:rsid w:val="00BE405E"/>
    <w:rsid w:val="00BE66AF"/>
    <w:rsid w:val="00C00B52"/>
    <w:rsid w:val="00C14B08"/>
    <w:rsid w:val="00C20BBE"/>
    <w:rsid w:val="00C24825"/>
    <w:rsid w:val="00C3153B"/>
    <w:rsid w:val="00C331ED"/>
    <w:rsid w:val="00C3408A"/>
    <w:rsid w:val="00C34763"/>
    <w:rsid w:val="00C4239E"/>
    <w:rsid w:val="00C51311"/>
    <w:rsid w:val="00C51E6E"/>
    <w:rsid w:val="00C658A4"/>
    <w:rsid w:val="00C6709D"/>
    <w:rsid w:val="00C8223F"/>
    <w:rsid w:val="00C8671C"/>
    <w:rsid w:val="00CA2CF8"/>
    <w:rsid w:val="00CA58F7"/>
    <w:rsid w:val="00CA7CE5"/>
    <w:rsid w:val="00CB2F55"/>
    <w:rsid w:val="00CC30FA"/>
    <w:rsid w:val="00CC4EF4"/>
    <w:rsid w:val="00CC5604"/>
    <w:rsid w:val="00CD4C4E"/>
    <w:rsid w:val="00CD5727"/>
    <w:rsid w:val="00CE098E"/>
    <w:rsid w:val="00CF3690"/>
    <w:rsid w:val="00CF3882"/>
    <w:rsid w:val="00D00492"/>
    <w:rsid w:val="00D01699"/>
    <w:rsid w:val="00D04F6E"/>
    <w:rsid w:val="00D05C90"/>
    <w:rsid w:val="00D075B8"/>
    <w:rsid w:val="00D07989"/>
    <w:rsid w:val="00D07BA1"/>
    <w:rsid w:val="00D10B90"/>
    <w:rsid w:val="00D11D31"/>
    <w:rsid w:val="00D12234"/>
    <w:rsid w:val="00D23055"/>
    <w:rsid w:val="00D24D5B"/>
    <w:rsid w:val="00D335D1"/>
    <w:rsid w:val="00D3548C"/>
    <w:rsid w:val="00D41B3C"/>
    <w:rsid w:val="00D45802"/>
    <w:rsid w:val="00D460A3"/>
    <w:rsid w:val="00D54027"/>
    <w:rsid w:val="00D54B12"/>
    <w:rsid w:val="00D56401"/>
    <w:rsid w:val="00D57CD9"/>
    <w:rsid w:val="00D671A5"/>
    <w:rsid w:val="00D70FE1"/>
    <w:rsid w:val="00D7127C"/>
    <w:rsid w:val="00D85F32"/>
    <w:rsid w:val="00D9658E"/>
    <w:rsid w:val="00D97283"/>
    <w:rsid w:val="00DA054D"/>
    <w:rsid w:val="00DA7037"/>
    <w:rsid w:val="00DB3CF8"/>
    <w:rsid w:val="00DB4B85"/>
    <w:rsid w:val="00DB5DC4"/>
    <w:rsid w:val="00DB79B0"/>
    <w:rsid w:val="00DC0FD8"/>
    <w:rsid w:val="00DC10AE"/>
    <w:rsid w:val="00DC1633"/>
    <w:rsid w:val="00DC2146"/>
    <w:rsid w:val="00DD36CD"/>
    <w:rsid w:val="00DE005B"/>
    <w:rsid w:val="00DE3AE1"/>
    <w:rsid w:val="00DF14A0"/>
    <w:rsid w:val="00DF3832"/>
    <w:rsid w:val="00E03EDD"/>
    <w:rsid w:val="00E07CCC"/>
    <w:rsid w:val="00E113F4"/>
    <w:rsid w:val="00E1753E"/>
    <w:rsid w:val="00E25862"/>
    <w:rsid w:val="00E32BF8"/>
    <w:rsid w:val="00E33542"/>
    <w:rsid w:val="00E3566E"/>
    <w:rsid w:val="00E4199D"/>
    <w:rsid w:val="00E42CA2"/>
    <w:rsid w:val="00E42F6B"/>
    <w:rsid w:val="00E4377B"/>
    <w:rsid w:val="00E43FBF"/>
    <w:rsid w:val="00E50948"/>
    <w:rsid w:val="00E70947"/>
    <w:rsid w:val="00E7387C"/>
    <w:rsid w:val="00E74D57"/>
    <w:rsid w:val="00E8257F"/>
    <w:rsid w:val="00E858B1"/>
    <w:rsid w:val="00E915AB"/>
    <w:rsid w:val="00EA1530"/>
    <w:rsid w:val="00EA3622"/>
    <w:rsid w:val="00EA5B8F"/>
    <w:rsid w:val="00EA71C9"/>
    <w:rsid w:val="00EB3668"/>
    <w:rsid w:val="00EB56B3"/>
    <w:rsid w:val="00EB731D"/>
    <w:rsid w:val="00EC2E64"/>
    <w:rsid w:val="00ED08D7"/>
    <w:rsid w:val="00ED0F61"/>
    <w:rsid w:val="00ED2E5A"/>
    <w:rsid w:val="00EE078D"/>
    <w:rsid w:val="00EF2B26"/>
    <w:rsid w:val="00EF6B9E"/>
    <w:rsid w:val="00EF6C4C"/>
    <w:rsid w:val="00F00CEA"/>
    <w:rsid w:val="00F01C43"/>
    <w:rsid w:val="00F05F0C"/>
    <w:rsid w:val="00F11CA8"/>
    <w:rsid w:val="00F12FD9"/>
    <w:rsid w:val="00F25946"/>
    <w:rsid w:val="00F3013A"/>
    <w:rsid w:val="00F32A91"/>
    <w:rsid w:val="00F33DFE"/>
    <w:rsid w:val="00F374A9"/>
    <w:rsid w:val="00F40CA4"/>
    <w:rsid w:val="00F43BDD"/>
    <w:rsid w:val="00F46208"/>
    <w:rsid w:val="00F46D0B"/>
    <w:rsid w:val="00F5437D"/>
    <w:rsid w:val="00F64AC3"/>
    <w:rsid w:val="00F64E43"/>
    <w:rsid w:val="00F66F03"/>
    <w:rsid w:val="00F77AB0"/>
    <w:rsid w:val="00F77C01"/>
    <w:rsid w:val="00F80A4E"/>
    <w:rsid w:val="00F81BEF"/>
    <w:rsid w:val="00F87155"/>
    <w:rsid w:val="00F96299"/>
    <w:rsid w:val="00FA52AE"/>
    <w:rsid w:val="00FA71AF"/>
    <w:rsid w:val="00FB3763"/>
    <w:rsid w:val="00FB5389"/>
    <w:rsid w:val="00FC2B44"/>
    <w:rsid w:val="00FC3AE9"/>
    <w:rsid w:val="00FC4091"/>
    <w:rsid w:val="00FD02E6"/>
    <w:rsid w:val="00FD468A"/>
    <w:rsid w:val="00FD56B7"/>
    <w:rsid w:val="00FE6E9C"/>
    <w:rsid w:val="00FF1E42"/>
    <w:rsid w:val="00FF4A8B"/>
    <w:rsid w:val="00FF5F64"/>
    <w:rsid w:val="1C7327F1"/>
    <w:rsid w:val="22C244D9"/>
    <w:rsid w:val="2AC82E3D"/>
    <w:rsid w:val="2F8E575B"/>
    <w:rsid w:val="35B71496"/>
    <w:rsid w:val="383B2EA0"/>
    <w:rsid w:val="425B2A60"/>
    <w:rsid w:val="4446615E"/>
    <w:rsid w:val="4E9F7407"/>
    <w:rsid w:val="58B9385B"/>
    <w:rsid w:val="5C7411E1"/>
    <w:rsid w:val="670544F5"/>
    <w:rsid w:val="6DC24EEE"/>
    <w:rsid w:val="73AD1495"/>
    <w:rsid w:val="75B9048D"/>
    <w:rsid w:val="75F82B24"/>
    <w:rsid w:val="79B33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autoRedefine/>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Normal (Web)"/>
    <w:basedOn w:val="1"/>
    <w:autoRedefine/>
    <w:unhideWhenUsed/>
    <w:qFormat/>
    <w:uiPriority w:val="99"/>
    <w:pPr>
      <w:widowControl/>
      <w:shd w:val="clear" w:color="auto" w:fill="FFFFFF"/>
      <w:spacing w:line="590" w:lineRule="exact"/>
      <w:ind w:firstLine="640" w:firstLineChars="200"/>
    </w:pPr>
    <w:rPr>
      <w:rFonts w:ascii="方正仿宋_GBK" w:hAnsi="宋体" w:eastAsia="方正仿宋_GBK" w:cs="宋体"/>
      <w:kern w:val="0"/>
      <w:sz w:val="32"/>
      <w:szCs w:val="32"/>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autoRedefine/>
    <w:qFormat/>
    <w:uiPriority w:val="0"/>
    <w:rPr>
      <w:rFonts w:ascii="Times New Roman" w:hAnsi="Times New Roman" w:eastAsia="宋体" w:cs="Times New Roman"/>
      <w:sz w:val="18"/>
      <w:szCs w:val="18"/>
    </w:rPr>
  </w:style>
  <w:style w:type="character" w:customStyle="1" w:styleId="10">
    <w:name w:val="页脚 字符"/>
    <w:basedOn w:val="8"/>
    <w:link w:val="3"/>
    <w:autoRedefine/>
    <w:qFormat/>
    <w:uiPriority w:val="99"/>
    <w:rPr>
      <w:sz w:val="18"/>
      <w:szCs w:val="18"/>
    </w:rPr>
  </w:style>
  <w:style w:type="paragraph" w:customStyle="1" w:styleId="11">
    <w:name w:val="段"/>
    <w:link w:val="12"/>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2">
    <w:name w:val="段 Char"/>
    <w:basedOn w:val="8"/>
    <w:link w:val="11"/>
    <w:autoRedefine/>
    <w:qFormat/>
    <w:uiPriority w:val="99"/>
    <w:rPr>
      <w:rFonts w:ascii="宋体" w:hAnsi="Times New Roman" w:eastAsia="宋体" w:cs="Times New Roman"/>
      <w:kern w:val="0"/>
      <w:szCs w:val="20"/>
    </w:rPr>
  </w:style>
  <w:style w:type="character" w:customStyle="1" w:styleId="13">
    <w:name w:val="批注框文本 字符"/>
    <w:basedOn w:val="8"/>
    <w:link w:val="2"/>
    <w:autoRedefine/>
    <w:semiHidden/>
    <w:qFormat/>
    <w:uiPriority w:val="99"/>
    <w:rPr>
      <w:sz w:val="18"/>
      <w:szCs w:val="18"/>
    </w:rPr>
  </w:style>
  <w:style w:type="paragraph" w:customStyle="1" w:styleId="14">
    <w:name w:val="Revision"/>
    <w:autoRedefine/>
    <w:hidden/>
    <w:unhideWhenUsed/>
    <w:uiPriority w:val="99"/>
    <w:rPr>
      <w:rFonts w:asciiTheme="minorHAnsi" w:hAnsiTheme="minorHAnsi" w:eastAsiaTheme="minorEastAsia" w:cstheme="minorBidi"/>
      <w:kern w:val="2"/>
      <w:sz w:val="21"/>
      <w:szCs w:val="2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57F04-E67D-4B5E-9DDA-83172476B07D}">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8</Pages>
  <Words>544</Words>
  <Characters>3107</Characters>
  <Lines>25</Lines>
  <Paragraphs>7</Paragraphs>
  <TotalTime>1</TotalTime>
  <ScaleCrop>false</ScaleCrop>
  <LinksUpToDate>false</LinksUpToDate>
  <CharactersWithSpaces>3644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2023-06-13T09:11:00Z</dcterms:created>
  <dc:creator>gyb1</dc:creator>
  <cp:lastModifiedBy>王佳莹</cp:lastModifiedBy>
  <cp:lastPrinted>2024-01-25T00:52:00Z</cp:lastPrinted>
  <dcterms:modified xsi:type="dcterms:W3CDTF">2024-05-08T07:30:40Z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ABDBBB805797416285E024C50E2E47D6_12</vt:lpwstr>
  </property>
</Properties>
</file>